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F18" w:rsidRDefault="004838FE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#109-e</w:t>
      </w:r>
      <w:r>
        <w:rPr>
          <w:rFonts w:ascii="Arial" w:hAnsi="Arial" w:cs="Arial"/>
          <w:b/>
          <w:sz w:val="22"/>
          <w:szCs w:val="22"/>
        </w:rPr>
        <w:tab/>
      </w:r>
      <w:r w:rsidR="00FE68BC" w:rsidRPr="00FE68BC">
        <w:rPr>
          <w:rFonts w:ascii="Arial" w:hAnsi="Arial" w:cs="Arial"/>
          <w:b/>
          <w:sz w:val="22"/>
          <w:szCs w:val="22"/>
        </w:rPr>
        <w:t>R1-2203187</w:t>
      </w:r>
    </w:p>
    <w:p w:rsidR="009C7F18" w:rsidRDefault="004838FE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e-Meeting, May 9th – 20th, 2022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C7F18" w:rsidRDefault="009C7F18">
      <w:pPr>
        <w:pStyle w:val="ad"/>
        <w:jc w:val="both"/>
      </w:pPr>
    </w:p>
    <w:p w:rsidR="009C7F18" w:rsidRDefault="004838FE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FE68BC" w:rsidRPr="00FE68BC">
        <w:rPr>
          <w:rFonts w:ascii="Arial" w:hAnsi="Arial"/>
          <w:b/>
        </w:rPr>
        <w:t>Discussion on power control for NR-DC for FR2</w:t>
      </w:r>
    </w:p>
    <w:p w:rsidR="009C7F18" w:rsidRDefault="004838FE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C7F18" w:rsidRDefault="004838FE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E68BC">
        <w:rPr>
          <w:rFonts w:ascii="Arial" w:hAnsi="Arial"/>
          <w:b/>
        </w:rPr>
        <w:t>7.2.10</w:t>
      </w:r>
    </w:p>
    <w:p w:rsidR="009C7F18" w:rsidRDefault="004838FE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9C7F18" w:rsidRDefault="004838FE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9C7F18" w:rsidRDefault="00FE68BC">
      <w:pPr>
        <w:rPr>
          <w:lang w:val="en-GB" w:eastAsia="zh-CN"/>
        </w:rPr>
      </w:pPr>
      <w:r>
        <w:rPr>
          <w:lang w:val="en-GB" w:eastAsia="zh-CN"/>
        </w:rPr>
        <w:t>This contribution discusses the potential issue for power control for NR-DC for FR2.</w:t>
      </w:r>
    </w:p>
    <w:p w:rsidR="009C7F18" w:rsidRDefault="009C7F18">
      <w:pPr>
        <w:rPr>
          <w:lang w:val="en-GB" w:eastAsia="zh-CN"/>
        </w:rPr>
      </w:pPr>
    </w:p>
    <w:p w:rsidR="009C7F18" w:rsidRDefault="00FE68BC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9C7F18" w:rsidRDefault="00FE68BC" w:rsidP="00FE68BC">
      <w:pPr>
        <w:rPr>
          <w:lang w:val="en-GB" w:eastAsia="zh-CN"/>
        </w:rPr>
      </w:pPr>
      <w:r>
        <w:rPr>
          <w:lang w:val="en-GB" w:eastAsia="zh-CN"/>
        </w:rPr>
        <w:t>In RAN1#104b-e meeting, the following LS (</w:t>
      </w:r>
      <w:r w:rsidRPr="00FE68BC">
        <w:rPr>
          <w:lang w:val="en-GB" w:eastAsia="zh-CN"/>
        </w:rPr>
        <w:t>R1-2104018</w:t>
      </w:r>
      <w:r>
        <w:rPr>
          <w:lang w:val="en-GB" w:eastAsia="zh-CN"/>
        </w:rPr>
        <w:t>) was sent to RAN4 on power control for NR-DC for FR2.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E68BC" w:rsidTr="00FE68BC">
        <w:tc>
          <w:tcPr>
            <w:tcW w:w="9628" w:type="dxa"/>
          </w:tcPr>
          <w:p w:rsidR="00FE68BC" w:rsidRPr="00DD41C1" w:rsidRDefault="00FE68BC" w:rsidP="00FE68BC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According to the current TS38.213, if a UE is configured with both MCG and SCG using NR radio access in FR2, the maximum power for FR2 for transmissions in MCG (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/>
                    </w:rPr>
                    <m:t>MCG</m:t>
                  </m:r>
                </m:sub>
              </m:sSub>
            </m:oMath>
            <w:r w:rsidRPr="00DD41C1">
              <w:rPr>
                <w:rFonts w:ascii="Arial" w:hAnsi="Arial" w:cs="Arial"/>
                <w:color w:val="000000"/>
              </w:rPr>
              <w:t xml:space="preserve">) </w:t>
            </w:r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is given by </w:t>
            </w:r>
            <w:r w:rsidRPr="00DD41C1">
              <w:rPr>
                <w:rFonts w:ascii="Arial" w:hAnsi="Arial" w:cs="Arial"/>
                <w:i/>
                <w:color w:val="000000"/>
                <w:lang w:eastAsia="zh-CN"/>
              </w:rPr>
              <w:t>p-NR-FR2</w:t>
            </w:r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 corresponding to MCG, and the maximum power for FR2 for transmissions in SCG (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/>
                    </w:rPr>
                    <m:t>SCG</m:t>
                  </m:r>
                </m:sub>
              </m:sSub>
            </m:oMath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) is given by </w:t>
            </w:r>
            <w:r w:rsidRPr="00DD41C1">
              <w:rPr>
                <w:rFonts w:ascii="Arial" w:hAnsi="Arial" w:cs="Arial"/>
                <w:i/>
                <w:color w:val="000000"/>
                <w:lang w:eastAsia="zh-CN"/>
              </w:rPr>
              <w:t>p-NR-FR2</w:t>
            </w:r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 corresponding to SCG. Consequently, not introducing </w:t>
            </w:r>
            <w:r w:rsidRPr="00DD41C1">
              <w:rPr>
                <w:rFonts w:ascii="Arial" w:hAnsi="Arial" w:cs="Arial"/>
                <w:i/>
                <w:color w:val="000000"/>
                <w:lang w:eastAsia="zh-CN"/>
              </w:rPr>
              <w:t>p-NR-FR2</w:t>
            </w:r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 is not consistent with current RAN1 specifications and would result in undefined power control for both uplink CCs of MCG in FR2 and uplink CCs of SCG in FR2.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RAN1 is discussing below changes as one possible solution to define power control for uplink CCs of MCG in FR2 and uplink CCs of SCG in FR2 in NR-DC case without requiring </w:t>
            </w:r>
            <w:r w:rsidRPr="00DD41C1">
              <w:rPr>
                <w:rFonts w:ascii="Arial" w:hAnsi="Arial" w:cs="Arial"/>
                <w:i/>
                <w:iCs/>
                <w:color w:val="000000"/>
                <w:lang w:eastAsia="zh-CN"/>
              </w:rPr>
              <w:t>p-NR-FR2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 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6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----start TP to sub clause 7.6.2 of TS 38.213----------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If a UE is configured with an MCG using NR radio access in FR1 or in FR2 and with a SCG using NR radio access in FR2 or in FR1, respectively, </w:t>
            </w:r>
            <w:r w:rsidRPr="00DD41C1">
              <w:rPr>
                <w:rFonts w:ascii="Arial" w:hAnsi="Arial" w:cs="Arial"/>
                <w:color w:val="FF0000"/>
                <w:u w:val="single"/>
                <w:lang w:eastAsia="zh-CN"/>
              </w:rPr>
              <w:t xml:space="preserve">or if a UE is configured with an MCG using NR radio access in FR2 and with a SCG using NR radio access in FR2 and is not configured with </w:t>
            </w:r>
            <w:r w:rsidRPr="00DD41C1">
              <w:rPr>
                <w:rFonts w:ascii="Arial" w:hAnsi="Arial" w:cs="Arial"/>
                <w:i/>
                <w:color w:val="FF0000"/>
                <w:u w:val="single"/>
                <w:lang w:eastAsia="zh-CN"/>
              </w:rPr>
              <w:t>p-NR-FR2</w:t>
            </w:r>
            <w:r w:rsidRPr="00DD41C1">
              <w:rPr>
                <w:rFonts w:ascii="Arial" w:hAnsi="Arial" w:cs="Arial"/>
                <w:color w:val="FF0000"/>
                <w:u w:val="single"/>
                <w:lang w:eastAsia="zh-CN"/>
              </w:rPr>
              <w:t xml:space="preserve">, </w:t>
            </w:r>
            <w:r w:rsidRPr="00DD41C1">
              <w:rPr>
                <w:rFonts w:ascii="Arial" w:hAnsi="Arial" w:cs="Arial"/>
                <w:color w:val="000000"/>
                <w:lang w:eastAsia="zh-CN"/>
              </w:rPr>
              <w:t>the UE performs transmission power control independently per cell group as described in Clauses 7.1 through 7.5.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--------- end TP ----------------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 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However, RAN1 cannot determine if it is a feasible solution and would like to ask RAN4 inputs about the feasibility, for the following two possible cases: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 xml:space="preserve">1) uplink CCs of MCG and uplink CCs of SCG are in different </w:t>
            </w:r>
            <w:r w:rsidRPr="00DD41C1">
              <w:rPr>
                <w:rFonts w:ascii="Arial" w:hAnsi="Arial" w:cs="Arial"/>
                <w:color w:val="000000" w:themeColor="text1"/>
                <w:lang w:eastAsia="zh-CN"/>
              </w:rPr>
              <w:t>frequency bands in FR2.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DD41C1">
              <w:rPr>
                <w:rFonts w:ascii="Arial" w:hAnsi="Arial" w:cs="Arial"/>
                <w:color w:val="000000" w:themeColor="text1"/>
                <w:lang w:eastAsia="zh-CN"/>
              </w:rPr>
              <w:t>2) uplink CCs of MCG and uplink CCs of SCG are in the same frequency band in FR2.</w:t>
            </w:r>
          </w:p>
          <w:p w:rsidR="00FE68BC" w:rsidRPr="00DD41C1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 </w:t>
            </w:r>
          </w:p>
          <w:p w:rsidR="00FE68BC" w:rsidRPr="00FE68BC" w:rsidRDefault="00FE68BC" w:rsidP="00FE68B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 w:cs="Arial"/>
                <w:color w:val="000000"/>
                <w:lang w:eastAsia="zh-CN"/>
              </w:rPr>
            </w:pPr>
            <w:r w:rsidRPr="00DD41C1">
              <w:rPr>
                <w:rFonts w:ascii="Arial" w:hAnsi="Arial" w:cs="Arial"/>
                <w:color w:val="000000"/>
                <w:lang w:eastAsia="zh-CN"/>
              </w:rPr>
              <w:t>In [R1-2007509], RAN4 informed RAN1 that discussion on p-UE-FR2 is postponed to Rel17. RAN1 would like to know if RAN4 expected to discuss p-NR-FR2 also in Rel17.</w:t>
            </w:r>
          </w:p>
        </w:tc>
      </w:tr>
    </w:tbl>
    <w:p w:rsidR="00FE68BC" w:rsidRDefault="00FE68BC" w:rsidP="00FE68BC">
      <w:pPr>
        <w:rPr>
          <w:lang w:val="en-GB" w:eastAsia="zh-CN"/>
        </w:rPr>
      </w:pPr>
    </w:p>
    <w:p w:rsidR="00FE68BC" w:rsidRDefault="00FE68BC" w:rsidP="00FE68BC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RAN1#109-e meeting, RAN4 replied the LS in </w:t>
      </w:r>
      <w:r w:rsidRPr="00FE68BC">
        <w:rPr>
          <w:lang w:val="en-GB" w:eastAsia="zh-CN"/>
        </w:rPr>
        <w:t>R1-2203030</w:t>
      </w:r>
      <w:r>
        <w:rPr>
          <w:lang w:val="en-GB" w:eastAsia="zh-CN"/>
        </w:rPr>
        <w:t xml:space="preserve"> as following.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E68BC" w:rsidTr="00FE68BC">
        <w:tc>
          <w:tcPr>
            <w:tcW w:w="9628" w:type="dxa"/>
          </w:tcPr>
          <w:p w:rsidR="00FE68BC" w:rsidRPr="00FE68BC" w:rsidRDefault="00FE68BC" w:rsidP="00FE68BC">
            <w:pPr>
              <w:pStyle w:val="ae"/>
              <w:spacing w:afterLines="50" w:after="120"/>
              <w:rPr>
                <w:rFonts w:cs="Arial"/>
                <w:b w:val="0"/>
              </w:rPr>
            </w:pPr>
            <w:r w:rsidRPr="00FE68BC">
              <w:rPr>
                <w:rFonts w:cs="Arial"/>
                <w:b w:val="0"/>
              </w:rPr>
              <w:t>RAN4 would like to thank RAN1 for the Further Reply LS on power control for NR-DC.</w:t>
            </w: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b w:val="0"/>
                <w:lang w:eastAsia="zh-CN"/>
              </w:rPr>
            </w:pPr>
            <w:r w:rsidRPr="00FE68BC">
              <w:rPr>
                <w:rFonts w:cs="Arial"/>
                <w:b w:val="0"/>
              </w:rPr>
              <w:t>Regarding the feasibility of independent power control for the mentioned two cases</w:t>
            </w:r>
            <w:r w:rsidRPr="00FE68BC">
              <w:rPr>
                <w:rFonts w:eastAsiaTheme="minorEastAsia" w:cs="Arial"/>
                <w:b w:val="0"/>
                <w:lang w:eastAsia="zh-CN"/>
              </w:rPr>
              <w:t>:</w:t>
            </w:r>
          </w:p>
          <w:p w:rsidR="00FE68BC" w:rsidRPr="00FE68BC" w:rsidRDefault="00FE68BC" w:rsidP="00FE68BC">
            <w:pPr>
              <w:ind w:left="720"/>
              <w:rPr>
                <w:i/>
                <w:color w:val="000000" w:themeColor="text1"/>
                <w:lang w:eastAsia="zh-CN"/>
              </w:rPr>
            </w:pPr>
            <w:r w:rsidRPr="00FE68BC">
              <w:rPr>
                <w:i/>
                <w:color w:val="000000"/>
                <w:lang w:eastAsia="zh-CN"/>
              </w:rPr>
              <w:t xml:space="preserve">1) uplink CCs of MCG and uplink CCs of SCG are in different </w:t>
            </w:r>
            <w:r w:rsidRPr="00FE68BC">
              <w:rPr>
                <w:i/>
                <w:color w:val="000000" w:themeColor="text1"/>
                <w:lang w:eastAsia="zh-CN"/>
              </w:rPr>
              <w:t>frequency bands in FR2.</w:t>
            </w:r>
          </w:p>
          <w:p w:rsidR="00FE68BC" w:rsidRPr="00FE68BC" w:rsidRDefault="00FE68BC" w:rsidP="00FE68BC">
            <w:pPr>
              <w:ind w:left="720"/>
              <w:rPr>
                <w:i/>
                <w:color w:val="000000" w:themeColor="text1"/>
                <w:lang w:eastAsia="zh-CN"/>
              </w:rPr>
            </w:pPr>
            <w:r w:rsidRPr="00FE68BC">
              <w:rPr>
                <w:i/>
                <w:color w:val="000000" w:themeColor="text1"/>
                <w:lang w:eastAsia="zh-CN"/>
              </w:rPr>
              <w:t>2) uplink CCs of MCG and uplink CCs of SCG are in the same frequency band in FR2.</w:t>
            </w: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Theme="minorEastAsia"/>
                <w:b w:val="0"/>
                <w:i/>
                <w:color w:val="0070C0"/>
                <w:lang w:eastAsia="zh-CN"/>
              </w:rPr>
            </w:pP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b w:val="0"/>
                <w:lang w:eastAsia="zh-CN"/>
              </w:rPr>
            </w:pPr>
            <w:r w:rsidRPr="00FE68BC">
              <w:rPr>
                <w:rFonts w:eastAsiaTheme="minorEastAsia" w:cs="Arial" w:hint="eastAsia"/>
                <w:b w:val="0"/>
                <w:lang w:eastAsia="zh-CN"/>
              </w:rPr>
              <w:t>R</w:t>
            </w:r>
            <w:r w:rsidRPr="00FE68BC">
              <w:rPr>
                <w:rFonts w:eastAsiaTheme="minorEastAsia" w:cs="Arial"/>
                <w:b w:val="0"/>
                <w:lang w:eastAsia="zh-CN"/>
              </w:rPr>
              <w:t xml:space="preserve">AN4 has discussed </w:t>
            </w:r>
            <w:r w:rsidRPr="00FE68BC">
              <w:rPr>
                <w:rFonts w:eastAsiaTheme="minorEastAsia" w:cs="Arial" w:hint="eastAsia"/>
                <w:b w:val="0"/>
                <w:lang w:eastAsia="zh-CN"/>
              </w:rPr>
              <w:t>t</w:t>
            </w:r>
            <w:r w:rsidRPr="00FE68BC">
              <w:rPr>
                <w:rFonts w:eastAsiaTheme="minorEastAsia" w:cs="Arial"/>
                <w:b w:val="0"/>
                <w:lang w:eastAsia="zh-CN"/>
              </w:rPr>
              <w:t>he definition of independent power control, and the understanding is that it means power control is per CG, and there is no total power limitation.</w:t>
            </w: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b w:val="0"/>
                <w:lang w:eastAsia="zh-CN"/>
              </w:rPr>
            </w:pPr>
            <w:r w:rsidRPr="00FE68BC">
              <w:rPr>
                <w:rFonts w:eastAsiaTheme="minorEastAsia" w:cs="Arial"/>
                <w:b w:val="0"/>
                <w:lang w:eastAsia="zh-CN"/>
              </w:rPr>
              <w:t>Up to now RAN4 hasn’t introduce NR-DC band combination for FR2, therefore UL CA is referred here and it is RAN4 understanding that same conclusion can be applied to NR-DC.</w:t>
            </w: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b w:val="0"/>
                <w:lang w:eastAsia="zh-CN"/>
              </w:rPr>
            </w:pPr>
            <w:r w:rsidRPr="00710845">
              <w:rPr>
                <w:rFonts w:eastAsiaTheme="minorEastAsia" w:cs="Arial" w:hint="eastAsia"/>
                <w:lang w:eastAsia="zh-CN"/>
              </w:rPr>
              <w:t>F</w:t>
            </w:r>
            <w:r w:rsidRPr="00710845">
              <w:rPr>
                <w:rFonts w:eastAsiaTheme="minorEastAsia" w:cs="Arial"/>
                <w:lang w:eastAsia="zh-CN"/>
              </w:rPr>
              <w:t>or intra-band UL CA</w:t>
            </w:r>
            <w:r>
              <w:rPr>
                <w:rFonts w:eastAsiaTheme="minorEastAsia" w:cs="Arial"/>
                <w:lang w:eastAsia="zh-CN"/>
              </w:rPr>
              <w:t>,</w:t>
            </w:r>
            <w:r w:rsidRPr="00FE68BC">
              <w:rPr>
                <w:rFonts w:eastAsiaTheme="minorEastAsia" w:cs="Arial"/>
                <w:b w:val="0"/>
                <w:lang w:eastAsia="zh-CN"/>
              </w:rPr>
              <w:t xml:space="preserve"> total max TR</w:t>
            </w:r>
            <w:r w:rsidRPr="00FE68BC">
              <w:rPr>
                <w:rFonts w:eastAsiaTheme="minorEastAsia" w:cs="Arial" w:hint="eastAsia"/>
                <w:b w:val="0"/>
                <w:lang w:eastAsia="zh-CN"/>
              </w:rPr>
              <w:t>P</w:t>
            </w:r>
            <w:r w:rsidRPr="00FE68BC">
              <w:rPr>
                <w:rFonts w:eastAsiaTheme="minorEastAsia" w:cs="Arial"/>
                <w:b w:val="0"/>
                <w:lang w:eastAsia="zh-CN"/>
              </w:rPr>
              <w:t xml:space="preserve"> and max EIRP limitation are defined in section 6.2A.4 of TS 38.101-2, thus power sharing is needed when the maximum power limitation was reached. Therefore, it is not independent power control.</w:t>
            </w:r>
          </w:p>
          <w:p w:rsid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b w:val="0"/>
                <w:lang w:eastAsia="zh-CN"/>
              </w:rPr>
            </w:pPr>
          </w:p>
          <w:p w:rsid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lang w:eastAsia="zh-CN"/>
              </w:rPr>
            </w:pPr>
            <w:r w:rsidRPr="00710845">
              <w:rPr>
                <w:rFonts w:eastAsiaTheme="minorEastAsia" w:cs="Arial"/>
                <w:lang w:eastAsia="zh-CN"/>
              </w:rPr>
              <w:t>For inter-band UL CA</w:t>
            </w:r>
            <w:r>
              <w:rPr>
                <w:rFonts w:eastAsiaTheme="minorEastAsia" w:cs="Arial"/>
                <w:lang w:eastAsia="zh-CN"/>
              </w:rPr>
              <w:t>:</w:t>
            </w: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Theme="minorEastAsia" w:cs="Arial"/>
                <w:b w:val="0"/>
                <w:lang w:eastAsia="zh-CN"/>
              </w:rPr>
            </w:pPr>
            <w:r w:rsidRPr="00FE68BC">
              <w:rPr>
                <w:rFonts w:eastAsiaTheme="minorEastAsia" w:cs="Arial" w:hint="eastAsia"/>
                <w:b w:val="0"/>
                <w:lang w:eastAsia="zh-CN"/>
              </w:rPr>
              <w:t>R</w:t>
            </w:r>
            <w:r w:rsidRPr="00FE68BC">
              <w:rPr>
                <w:rFonts w:eastAsiaTheme="minorEastAsia" w:cs="Arial"/>
                <w:b w:val="0"/>
                <w:lang w:eastAsia="zh-CN"/>
              </w:rPr>
              <w:t>AN4 has discussed two kinds of UEs to support inter-band CA, one is called CBM (Common Beam Management), and the other is called IBM (Independent Beam Management), and in Rel-17 RAN4 only defined requirements for IBM in inter-band UL CA. It is agreed that independent power control might be possible in some case for IBM but is not guaranteed UE behavior. RAN4 hasn’t discussed CBM for inter-band UL CA up to Rel-17.</w:t>
            </w:r>
          </w:p>
          <w:p w:rsidR="00FE68BC" w:rsidRDefault="00FE68BC" w:rsidP="00FE68BC">
            <w:pPr>
              <w:pStyle w:val="ae"/>
              <w:rPr>
                <w:rFonts w:eastAsia="等线" w:cs="Arial"/>
                <w:lang w:eastAsia="zh-CN"/>
              </w:rPr>
            </w:pPr>
          </w:p>
          <w:p w:rsidR="00FE68BC" w:rsidRPr="00FE68BC" w:rsidRDefault="00FE68BC" w:rsidP="00FE68BC">
            <w:pPr>
              <w:pStyle w:val="ae"/>
              <w:spacing w:afterLines="50" w:after="120"/>
              <w:rPr>
                <w:rFonts w:eastAsia="等线" w:cs="Arial"/>
                <w:b w:val="0"/>
                <w:lang w:eastAsia="zh-CN"/>
              </w:rPr>
            </w:pPr>
            <w:r w:rsidRPr="00FE68BC">
              <w:rPr>
                <w:rFonts w:eastAsiaTheme="minorEastAsia" w:cs="Arial" w:hint="eastAsia"/>
                <w:b w:val="0"/>
                <w:lang w:eastAsia="zh-CN"/>
              </w:rPr>
              <w:t>I</w:t>
            </w:r>
            <w:r w:rsidRPr="00FE68BC">
              <w:rPr>
                <w:rFonts w:eastAsiaTheme="minorEastAsia" w:cs="Arial"/>
                <w:b w:val="0"/>
                <w:lang w:eastAsia="zh-CN"/>
              </w:rPr>
              <w:t xml:space="preserve">n addition, </w:t>
            </w:r>
            <w:r w:rsidRPr="00FE68BC">
              <w:rPr>
                <w:rFonts w:eastAsia="等线" w:cs="Arial"/>
                <w:b w:val="0"/>
                <w:lang w:eastAsia="zh-CN"/>
              </w:rPr>
              <w:t>RAN4 do not plan to discuss p-NR-FR2 or p-UE-FR2 in Rel-17.</w:t>
            </w:r>
          </w:p>
        </w:tc>
      </w:tr>
    </w:tbl>
    <w:p w:rsidR="00FE68BC" w:rsidRDefault="00FE68BC" w:rsidP="00FE68BC">
      <w:pPr>
        <w:rPr>
          <w:lang w:val="en-GB" w:eastAsia="zh-CN"/>
        </w:rPr>
      </w:pPr>
    </w:p>
    <w:p w:rsidR="00FE68BC" w:rsidRDefault="00FE68BC" w:rsidP="00FE68BC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accordance with the RAN4 LS, the following TP can be considered.</w:t>
      </w:r>
    </w:p>
    <w:p w:rsidR="00FE68BC" w:rsidRPr="0067231B" w:rsidRDefault="003679B0" w:rsidP="00FE68BC">
      <w:pPr>
        <w:rPr>
          <w:i/>
          <w:lang w:val="en-GB" w:eastAsia="zh-CN"/>
        </w:rPr>
      </w:pPr>
      <w:r w:rsidRPr="0067231B">
        <w:rPr>
          <w:rFonts w:hint="eastAsia"/>
          <w:b/>
          <w:i/>
          <w:lang w:val="en-GB" w:eastAsia="zh-CN"/>
        </w:rPr>
        <w:t>P</w:t>
      </w:r>
      <w:r w:rsidRPr="0067231B">
        <w:rPr>
          <w:b/>
          <w:i/>
          <w:lang w:val="en-GB" w:eastAsia="zh-CN"/>
        </w:rPr>
        <w:t>roposal 1</w:t>
      </w:r>
      <w:r w:rsidRPr="0067231B">
        <w:rPr>
          <w:i/>
          <w:lang w:val="en-GB" w:eastAsia="zh-CN"/>
        </w:rPr>
        <w:t>: Adopt the following TP</w:t>
      </w:r>
      <w:r w:rsidR="0067231B" w:rsidRPr="0067231B">
        <w:rPr>
          <w:i/>
          <w:lang w:val="en-GB" w:eastAsia="zh-CN"/>
        </w:rPr>
        <w:t xml:space="preserve"> for section 7.6.2 for TS38.213</w:t>
      </w:r>
      <w:r w:rsidRPr="0067231B">
        <w:rPr>
          <w:i/>
          <w:lang w:val="en-GB" w:eastAsia="zh-CN"/>
        </w:rPr>
        <w:t>.</w:t>
      </w:r>
    </w:p>
    <w:p w:rsidR="003679B0" w:rsidRPr="0067231B" w:rsidRDefault="003679B0" w:rsidP="0067231B">
      <w:pPr>
        <w:ind w:leftChars="100" w:left="200"/>
        <w:rPr>
          <w:i/>
          <w:lang w:val="en-GB" w:eastAsia="zh-CN"/>
        </w:rPr>
      </w:pPr>
      <w:r w:rsidRPr="0067231B">
        <w:rPr>
          <w:b/>
          <w:i/>
          <w:lang w:val="en-GB" w:eastAsia="zh-CN"/>
        </w:rPr>
        <w:t>Reason for change</w:t>
      </w:r>
      <w:r w:rsidRPr="0067231B">
        <w:rPr>
          <w:i/>
          <w:lang w:val="en-GB" w:eastAsia="zh-CN"/>
        </w:rPr>
        <w:t>: RAN4 agreed that even if RRC parameter</w:t>
      </w:r>
      <w:r w:rsidRPr="0067231B">
        <w:rPr>
          <w:i/>
        </w:rPr>
        <w:t xml:space="preserve"> </w:t>
      </w:r>
      <w:r w:rsidRPr="0067231B">
        <w:rPr>
          <w:i/>
          <w:lang w:val="en-GB" w:eastAsia="zh-CN"/>
        </w:rPr>
        <w:t>p-NR-FR2 is not configured, UE can still perform power sharing for FR2 NR-DC, similar as total max TRP and max EIRP limitation defined in section 6.2A.4 of TS 38.101-2. The current RAN1 spec doesn’t reflect this.</w:t>
      </w:r>
    </w:p>
    <w:p w:rsidR="003679B0" w:rsidRPr="0067231B" w:rsidRDefault="003679B0" w:rsidP="0067231B">
      <w:pPr>
        <w:ind w:leftChars="100" w:left="200"/>
        <w:rPr>
          <w:i/>
          <w:lang w:val="en-GB" w:eastAsia="zh-CN"/>
        </w:rPr>
      </w:pPr>
      <w:r w:rsidRPr="0067231B">
        <w:rPr>
          <w:b/>
          <w:i/>
          <w:lang w:val="en-GB" w:eastAsia="zh-CN"/>
        </w:rPr>
        <w:t>Summary of change</w:t>
      </w:r>
      <w:r w:rsidRPr="0067231B">
        <w:rPr>
          <w:i/>
          <w:lang w:val="en-GB" w:eastAsia="zh-CN"/>
        </w:rPr>
        <w:t xml:space="preserve">: Add UE behaviour for power sharing </w:t>
      </w:r>
      <w:r w:rsidR="0067231B" w:rsidRPr="0067231B">
        <w:rPr>
          <w:i/>
          <w:lang w:val="en-GB" w:eastAsia="zh-CN"/>
        </w:rPr>
        <w:t>for FR2 NR-DC in case when RRC parameter</w:t>
      </w:r>
      <w:r w:rsidR="0067231B" w:rsidRPr="0067231B">
        <w:rPr>
          <w:i/>
        </w:rPr>
        <w:t xml:space="preserve"> </w:t>
      </w:r>
      <w:r w:rsidR="0067231B" w:rsidRPr="0067231B">
        <w:rPr>
          <w:i/>
          <w:lang w:val="en-GB" w:eastAsia="zh-CN"/>
        </w:rPr>
        <w:t>p-NR-FR2 is not configured.</w:t>
      </w:r>
    </w:p>
    <w:p w:rsidR="003679B0" w:rsidRPr="0067231B" w:rsidRDefault="003679B0" w:rsidP="0067231B">
      <w:pPr>
        <w:ind w:leftChars="100" w:left="200"/>
        <w:rPr>
          <w:i/>
          <w:lang w:val="en-GB" w:eastAsia="zh-CN"/>
        </w:rPr>
      </w:pPr>
      <w:r w:rsidRPr="0067231B">
        <w:rPr>
          <w:b/>
          <w:i/>
          <w:lang w:val="en-GB" w:eastAsia="zh-CN"/>
        </w:rPr>
        <w:t>Consequences if not approved</w:t>
      </w:r>
      <w:r w:rsidRPr="0067231B">
        <w:rPr>
          <w:i/>
          <w:lang w:val="en-GB" w:eastAsia="zh-CN"/>
        </w:rPr>
        <w:t>:</w:t>
      </w:r>
      <w:r w:rsidR="0067231B" w:rsidRPr="0067231B">
        <w:rPr>
          <w:i/>
          <w:lang w:val="en-GB" w:eastAsia="zh-CN"/>
        </w:rPr>
        <w:t xml:space="preserve"> The UE behaviour for power sharing for FR2 NR-DC in case when RRC parameter</w:t>
      </w:r>
      <w:r w:rsidR="0067231B" w:rsidRPr="0067231B">
        <w:rPr>
          <w:i/>
        </w:rPr>
        <w:t xml:space="preserve"> </w:t>
      </w:r>
      <w:r w:rsidR="0067231B" w:rsidRPr="0067231B">
        <w:rPr>
          <w:i/>
          <w:lang w:val="en-GB" w:eastAsia="zh-CN"/>
        </w:rPr>
        <w:t>p-NR-FR2 is not configured is not clear.</w:t>
      </w:r>
    </w:p>
    <w:p w:rsidR="003679B0" w:rsidRDefault="003679B0" w:rsidP="003679B0">
      <w:pPr>
        <w:rPr>
          <w:lang w:val="en-GB"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E68BC" w:rsidTr="00FE68BC">
        <w:tc>
          <w:tcPr>
            <w:tcW w:w="9628" w:type="dxa"/>
          </w:tcPr>
          <w:p w:rsidR="00FE68BC" w:rsidRDefault="00FE68BC" w:rsidP="00FE68BC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7.6.2</w:t>
            </w:r>
            <w:r>
              <w:rPr>
                <w:b/>
                <w:bCs/>
              </w:rPr>
              <w:tab/>
              <w:t>NR-DC</w:t>
            </w:r>
          </w:p>
          <w:p w:rsidR="00FE68BC" w:rsidRDefault="00FE68BC" w:rsidP="00FE68BC">
            <w:r>
              <w:t>If a UE is configured with an MCG using NR radio access in FR1 or in FR2 and with a SCG using NR radio access in FR2 or in FR1, respectively, the UE performs transmission power control independently per cell group as described in clauses 7.1 through 7.5.</w:t>
            </w:r>
          </w:p>
          <w:p w:rsidR="00FE68BC" w:rsidRPr="003679B0" w:rsidRDefault="003679B0" w:rsidP="003679B0">
            <w:pPr>
              <w:rPr>
                <w:color w:val="FF0000"/>
                <w:u w:val="single"/>
                <w:lang w:eastAsia="zh-CN"/>
              </w:rPr>
            </w:pPr>
            <w:r w:rsidRPr="003679B0">
              <w:rPr>
                <w:rFonts w:hint="eastAsia"/>
                <w:color w:val="FF0000"/>
                <w:u w:val="single"/>
                <w:lang w:eastAsia="zh-CN"/>
              </w:rPr>
              <w:t>I</w:t>
            </w:r>
            <w:r w:rsidR="00FE68BC" w:rsidRPr="003679B0">
              <w:rPr>
                <w:color w:val="FF0000"/>
                <w:u w:val="single"/>
              </w:rPr>
              <w:t xml:space="preserve">f a UE is configured with an MCG using NR radio access in FR2 and with a SCG using NR radio access in FR2 and is not configured with </w:t>
            </w:r>
            <w:r w:rsidR="00FE68BC" w:rsidRPr="0067231B">
              <w:rPr>
                <w:i/>
                <w:color w:val="FF0000"/>
                <w:u w:val="single"/>
              </w:rPr>
              <w:t>p-NR-FR2</w:t>
            </w:r>
            <w:r w:rsidRPr="003679B0">
              <w:rPr>
                <w:color w:val="FF0000"/>
                <w:u w:val="single"/>
              </w:rPr>
              <w:t>, the UE performs transmission power control as described in clauses 7.1 through 7.5 for each cell group and as described in [8-2, TS 38.101-2]</w:t>
            </w:r>
            <w:r w:rsidRPr="003679B0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3679B0">
              <w:rPr>
                <w:color w:val="FF0000"/>
                <w:u w:val="single"/>
              </w:rPr>
              <w:t>across cell groups.</w:t>
            </w:r>
          </w:p>
          <w:p w:rsidR="00FE68BC" w:rsidRPr="0067231B" w:rsidRDefault="00FE68BC" w:rsidP="00FE68BC">
            <w:r>
              <w:t xml:space="preserve">If a UE is configured with an MCG and a SCG using NR radio access in FR1 and/or in FR2, the UE is configured a maximum power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47066" cy="128905"/>
                  <wp:effectExtent l="0" t="0" r="635" b="4445"/>
                  <wp:docPr id="2" name="图片 2" descr="C:\Users\10240317\AppData\Local\Temp\ksohtml11040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C:\Users\10240317\AppData\Local\Temp\ksohtml11040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95" cy="13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MCG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a maximum power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13360" cy="123886"/>
                  <wp:effectExtent l="0" t="0" r="0" b="9525"/>
                  <wp:docPr id="1" name="图片 1" descr="C:\Users\10240317\AppData\Local\Temp\ksohtml11040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C:\Users\10240317\AppData\Local\Temp\ksohtml11040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95" cy="127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SCG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with an inter-CG power sharing mode by </w:t>
            </w:r>
            <w:r>
              <w:rPr>
                <w:i/>
                <w:iCs/>
              </w:rPr>
              <w:t>nrdc-PCmode-FR1</w:t>
            </w:r>
            <w:r>
              <w:t xml:space="preserve"> for FR1 and/or by </w:t>
            </w:r>
            <w:r>
              <w:rPr>
                <w:i/>
                <w:iCs/>
              </w:rPr>
              <w:t>nrdc-PCmode-FR2</w:t>
            </w:r>
            <w:r>
              <w:t xml:space="preserve"> for FR2. The UE determines a transmission power on the MCG and a transmission power on the SCG per frequency range.</w:t>
            </w:r>
          </w:p>
        </w:tc>
      </w:tr>
    </w:tbl>
    <w:p w:rsidR="00FE68BC" w:rsidRDefault="00FE68BC" w:rsidP="00FE68BC">
      <w:pPr>
        <w:rPr>
          <w:lang w:val="en-GB" w:eastAsia="zh-CN"/>
        </w:rPr>
      </w:pPr>
    </w:p>
    <w:p w:rsidR="009C7F18" w:rsidRDefault="009C7F18">
      <w:pPr>
        <w:rPr>
          <w:lang w:val="en-GB" w:eastAsia="zh-CN"/>
        </w:rPr>
      </w:pPr>
    </w:p>
    <w:p w:rsidR="009C7F18" w:rsidRDefault="004838FE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:rsidR="009C7F18" w:rsidRDefault="0067231B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propose the following TP for </w:t>
      </w:r>
      <w:r w:rsidRPr="0067231B">
        <w:rPr>
          <w:lang w:val="en-GB" w:eastAsia="zh-CN"/>
        </w:rPr>
        <w:t>section 7.6.2 for TS38.213</w:t>
      </w:r>
      <w:r w:rsidRPr="0067231B">
        <w:t xml:space="preserve"> </w:t>
      </w:r>
      <w:r w:rsidRPr="0067231B">
        <w:rPr>
          <w:lang w:val="en-GB" w:eastAsia="zh-CN"/>
        </w:rPr>
        <w:t>for power sharing for FR2 NR-DC in case when RRC parameter p-NR-FR2 is not configured.</w:t>
      </w:r>
    </w:p>
    <w:p w:rsidR="0067231B" w:rsidRPr="0067231B" w:rsidRDefault="0067231B" w:rsidP="0067231B">
      <w:pPr>
        <w:rPr>
          <w:i/>
          <w:lang w:val="en-GB" w:eastAsia="zh-CN"/>
        </w:rPr>
      </w:pPr>
      <w:r w:rsidRPr="0067231B">
        <w:rPr>
          <w:rFonts w:hint="eastAsia"/>
          <w:b/>
          <w:i/>
          <w:lang w:val="en-GB" w:eastAsia="zh-CN"/>
        </w:rPr>
        <w:t>P</w:t>
      </w:r>
      <w:r w:rsidRPr="0067231B">
        <w:rPr>
          <w:b/>
          <w:i/>
          <w:lang w:val="en-GB" w:eastAsia="zh-CN"/>
        </w:rPr>
        <w:t>roposal 1</w:t>
      </w:r>
      <w:r w:rsidRPr="0067231B">
        <w:rPr>
          <w:i/>
          <w:lang w:val="en-GB" w:eastAsia="zh-CN"/>
        </w:rPr>
        <w:t>: Adopt the following TP for section 7.6.2 for TS38.213.</w:t>
      </w:r>
    </w:p>
    <w:p w:rsidR="0067231B" w:rsidRPr="0067231B" w:rsidRDefault="0067231B" w:rsidP="0067231B">
      <w:pPr>
        <w:ind w:leftChars="100" w:left="200"/>
        <w:rPr>
          <w:i/>
          <w:lang w:val="en-GB" w:eastAsia="zh-CN"/>
        </w:rPr>
      </w:pPr>
      <w:r w:rsidRPr="0067231B">
        <w:rPr>
          <w:b/>
          <w:i/>
          <w:lang w:val="en-GB" w:eastAsia="zh-CN"/>
        </w:rPr>
        <w:t>Reason for change</w:t>
      </w:r>
      <w:r w:rsidRPr="0067231B">
        <w:rPr>
          <w:i/>
          <w:lang w:val="en-GB" w:eastAsia="zh-CN"/>
        </w:rPr>
        <w:t>: RAN4 agreed that even if RRC parameter</w:t>
      </w:r>
      <w:r w:rsidRPr="0067231B">
        <w:rPr>
          <w:i/>
        </w:rPr>
        <w:t xml:space="preserve"> </w:t>
      </w:r>
      <w:r w:rsidRPr="0067231B">
        <w:rPr>
          <w:i/>
          <w:lang w:val="en-GB" w:eastAsia="zh-CN"/>
        </w:rPr>
        <w:t>p-NR-FR2 is not configured, UE can still perform power sharing for FR2 NR-DC, similar as total max TRP and max EIRP limitation defined in section 6.2A.4 of TS 38.101-2. The current RAN1 spec doesn’t reflect this.</w:t>
      </w:r>
    </w:p>
    <w:p w:rsidR="0067231B" w:rsidRPr="0067231B" w:rsidRDefault="0067231B" w:rsidP="0067231B">
      <w:pPr>
        <w:ind w:leftChars="100" w:left="200"/>
        <w:rPr>
          <w:i/>
          <w:lang w:val="en-GB" w:eastAsia="zh-CN"/>
        </w:rPr>
      </w:pPr>
      <w:r w:rsidRPr="0067231B">
        <w:rPr>
          <w:b/>
          <w:i/>
          <w:lang w:val="en-GB" w:eastAsia="zh-CN"/>
        </w:rPr>
        <w:t>Summary of change</w:t>
      </w:r>
      <w:r w:rsidRPr="0067231B">
        <w:rPr>
          <w:i/>
          <w:lang w:val="en-GB" w:eastAsia="zh-CN"/>
        </w:rPr>
        <w:t>: Add UE behaviour for power sharing for FR2 NR-DC in case when RRC parameter</w:t>
      </w:r>
      <w:r w:rsidRPr="0067231B">
        <w:rPr>
          <w:i/>
        </w:rPr>
        <w:t xml:space="preserve"> </w:t>
      </w:r>
      <w:r w:rsidRPr="0067231B">
        <w:rPr>
          <w:i/>
          <w:lang w:val="en-GB" w:eastAsia="zh-CN"/>
        </w:rPr>
        <w:t>p-NR-FR2 is not configured.</w:t>
      </w:r>
    </w:p>
    <w:p w:rsidR="0067231B" w:rsidRPr="00C17887" w:rsidRDefault="0067231B" w:rsidP="00C17887">
      <w:pPr>
        <w:ind w:leftChars="100" w:left="200"/>
        <w:rPr>
          <w:rFonts w:hint="eastAsia"/>
          <w:i/>
          <w:lang w:val="en-GB" w:eastAsia="zh-CN"/>
        </w:rPr>
      </w:pPr>
      <w:r w:rsidRPr="0067231B">
        <w:rPr>
          <w:b/>
          <w:i/>
          <w:lang w:val="en-GB" w:eastAsia="zh-CN"/>
        </w:rPr>
        <w:t>Consequences if not approved</w:t>
      </w:r>
      <w:r w:rsidRPr="0067231B">
        <w:rPr>
          <w:i/>
          <w:lang w:val="en-GB" w:eastAsia="zh-CN"/>
        </w:rPr>
        <w:t>: The UE behaviour for power sharing for FR2 NR-DC in case when RRC parameter</w:t>
      </w:r>
      <w:r w:rsidRPr="0067231B">
        <w:rPr>
          <w:i/>
        </w:rPr>
        <w:t xml:space="preserve"> </w:t>
      </w:r>
      <w:r w:rsidRPr="0067231B">
        <w:rPr>
          <w:i/>
          <w:lang w:val="en-GB" w:eastAsia="zh-CN"/>
        </w:rPr>
        <w:t>p-NR-FR2 is not configured is not clear.</w:t>
      </w:r>
      <w:bookmarkStart w:id="3" w:name="_GoBack"/>
      <w:bookmarkEnd w:id="3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17887" w:rsidTr="0052093E">
        <w:tc>
          <w:tcPr>
            <w:tcW w:w="9628" w:type="dxa"/>
          </w:tcPr>
          <w:p w:rsidR="00C17887" w:rsidRDefault="00C17887" w:rsidP="0052093E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7.6.2</w:t>
            </w:r>
            <w:r>
              <w:rPr>
                <w:b/>
                <w:bCs/>
              </w:rPr>
              <w:tab/>
              <w:t>NR-DC</w:t>
            </w:r>
          </w:p>
          <w:p w:rsidR="00C17887" w:rsidRDefault="00C17887" w:rsidP="0052093E">
            <w:r>
              <w:t>If a UE is configured with an MCG using NR radio access in FR1 or in FR2 and with a SCG using NR radio access in FR2 or in FR1, respectively, the UE performs transmission power control independently per cell group as described in clauses 7.1 through 7.5.</w:t>
            </w:r>
          </w:p>
          <w:p w:rsidR="00C17887" w:rsidRPr="003679B0" w:rsidRDefault="00C17887" w:rsidP="0052093E">
            <w:pPr>
              <w:rPr>
                <w:color w:val="FF0000"/>
                <w:u w:val="single"/>
                <w:lang w:eastAsia="zh-CN"/>
              </w:rPr>
            </w:pPr>
            <w:r w:rsidRPr="003679B0">
              <w:rPr>
                <w:rFonts w:hint="eastAsia"/>
                <w:color w:val="FF0000"/>
                <w:u w:val="single"/>
                <w:lang w:eastAsia="zh-CN"/>
              </w:rPr>
              <w:t>I</w:t>
            </w:r>
            <w:r w:rsidRPr="003679B0">
              <w:rPr>
                <w:color w:val="FF0000"/>
                <w:u w:val="single"/>
              </w:rPr>
              <w:t xml:space="preserve">f a UE is configured with an MCG using NR radio access in FR2 and with a SCG using NR radio access in FR2 and is not configured with </w:t>
            </w:r>
            <w:r w:rsidRPr="0067231B">
              <w:rPr>
                <w:i/>
                <w:color w:val="FF0000"/>
                <w:u w:val="single"/>
              </w:rPr>
              <w:t>p-NR-FR2</w:t>
            </w:r>
            <w:r w:rsidRPr="003679B0">
              <w:rPr>
                <w:color w:val="FF0000"/>
                <w:u w:val="single"/>
              </w:rPr>
              <w:t>, the UE performs transmission power control as described in clauses 7.1 through 7.5 for each cell group and as described in [8-2, TS 38.101-2]</w:t>
            </w:r>
            <w:r w:rsidRPr="003679B0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3679B0">
              <w:rPr>
                <w:color w:val="FF0000"/>
                <w:u w:val="single"/>
              </w:rPr>
              <w:t>across cell groups.</w:t>
            </w:r>
          </w:p>
          <w:p w:rsidR="00C17887" w:rsidRPr="0067231B" w:rsidRDefault="00C17887" w:rsidP="0052093E">
            <w:r>
              <w:t xml:space="preserve">If a UE is configured with an MCG and a SCG using NR radio access in FR1 and/or in FR2, the UE is configured a maximum power </w:t>
            </w:r>
            <w:r>
              <w:rPr>
                <w:noProof/>
                <w:lang w:eastAsia="zh-CN"/>
              </w:rPr>
              <w:drawing>
                <wp:inline distT="0" distB="0" distL="0" distR="0" wp14:anchorId="526836EE" wp14:editId="03102F44">
                  <wp:extent cx="247066" cy="128905"/>
                  <wp:effectExtent l="0" t="0" r="635" b="4445"/>
                  <wp:docPr id="3" name="图片 3" descr="C:\Users\10240317\AppData\Local\Temp\ksohtml11040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C:\Users\10240317\AppData\Local\Temp\ksohtml11040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95" cy="13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MCG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a maximum power </w:t>
            </w:r>
            <w:r>
              <w:rPr>
                <w:noProof/>
                <w:lang w:eastAsia="zh-CN"/>
              </w:rPr>
              <w:drawing>
                <wp:inline distT="0" distB="0" distL="0" distR="0" wp14:anchorId="1EF1FF46" wp14:editId="44DAE36B">
                  <wp:extent cx="213360" cy="123886"/>
                  <wp:effectExtent l="0" t="0" r="0" b="9525"/>
                  <wp:docPr id="6" name="图片 6" descr="C:\Users\10240317\AppData\Local\Temp\ksohtml11040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C:\Users\10240317\AppData\Local\Temp\ksohtml11040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95" cy="127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SCG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with an inter-CG power sharing mode by </w:t>
            </w:r>
            <w:r>
              <w:rPr>
                <w:i/>
                <w:iCs/>
              </w:rPr>
              <w:t>nrdc-PCmode-FR1</w:t>
            </w:r>
            <w:r>
              <w:t xml:space="preserve"> for FR1 and/or by </w:t>
            </w:r>
            <w:r>
              <w:rPr>
                <w:i/>
                <w:iCs/>
              </w:rPr>
              <w:t>nrdc-PCmode-FR2</w:t>
            </w:r>
            <w:r>
              <w:t xml:space="preserve"> for FR2. The UE determines a transmission power on the MCG and a transmission power on the SCG per frequency range.</w:t>
            </w:r>
          </w:p>
        </w:tc>
      </w:tr>
    </w:tbl>
    <w:p w:rsidR="009C7F18" w:rsidRPr="0067231B" w:rsidRDefault="009C7F18">
      <w:pPr>
        <w:rPr>
          <w:lang w:val="en-GB" w:eastAsia="zh-CN"/>
        </w:rPr>
      </w:pPr>
    </w:p>
    <w:sectPr w:rsidR="009C7F18" w:rsidRPr="0067231B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287" w:rsidRDefault="009E6287">
      <w:pPr>
        <w:spacing w:after="0"/>
      </w:pPr>
      <w:r>
        <w:separator/>
      </w:r>
    </w:p>
  </w:endnote>
  <w:endnote w:type="continuationSeparator" w:id="0">
    <w:p w:rsidR="009E6287" w:rsidRDefault="009E6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50" w:rsidRDefault="00766050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66050" w:rsidRDefault="0076605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50" w:rsidRDefault="00766050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C17887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C17887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287" w:rsidRDefault="009E6287">
      <w:pPr>
        <w:spacing w:after="0"/>
      </w:pPr>
      <w:r>
        <w:separator/>
      </w:r>
    </w:p>
  </w:footnote>
  <w:footnote w:type="continuationSeparator" w:id="0">
    <w:p w:rsidR="009E6287" w:rsidRDefault="009E62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50" w:rsidRDefault="0076605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00C8BA20"/>
    <w:multiLevelType w:val="multilevel"/>
    <w:tmpl w:val="00C8BA2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66A4AEB"/>
    <w:multiLevelType w:val="multilevel"/>
    <w:tmpl w:val="066A4AEB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upperLetter"/>
      <w:lvlText w:val="%2."/>
      <w:lvlJc w:val="left"/>
      <w:pPr>
        <w:ind w:left="1880" w:hanging="400"/>
      </w:pPr>
    </w:lvl>
    <w:lvl w:ilvl="2">
      <w:start w:val="1"/>
      <w:numFmt w:val="lowerRoman"/>
      <w:lvlText w:val="%3."/>
      <w:lvlJc w:val="right"/>
      <w:pPr>
        <w:ind w:left="2280" w:hanging="400"/>
      </w:pPr>
    </w:lvl>
    <w:lvl w:ilvl="3">
      <w:start w:val="1"/>
      <w:numFmt w:val="decimal"/>
      <w:lvlText w:val="%4."/>
      <w:lvlJc w:val="left"/>
      <w:pPr>
        <w:ind w:left="2680" w:hanging="400"/>
      </w:pPr>
    </w:lvl>
    <w:lvl w:ilvl="4">
      <w:start w:val="1"/>
      <w:numFmt w:val="upperLetter"/>
      <w:lvlText w:val="%5."/>
      <w:lvlJc w:val="left"/>
      <w:pPr>
        <w:ind w:left="3080" w:hanging="400"/>
      </w:pPr>
    </w:lvl>
    <w:lvl w:ilvl="5">
      <w:start w:val="1"/>
      <w:numFmt w:val="lowerRoman"/>
      <w:lvlText w:val="%6."/>
      <w:lvlJc w:val="right"/>
      <w:pPr>
        <w:ind w:left="3480" w:hanging="400"/>
      </w:pPr>
    </w:lvl>
    <w:lvl w:ilvl="6">
      <w:start w:val="1"/>
      <w:numFmt w:val="decimal"/>
      <w:lvlText w:val="%7."/>
      <w:lvlJc w:val="left"/>
      <w:pPr>
        <w:ind w:left="3880" w:hanging="400"/>
      </w:pPr>
    </w:lvl>
    <w:lvl w:ilvl="7">
      <w:start w:val="1"/>
      <w:numFmt w:val="upperLetter"/>
      <w:lvlText w:val="%8."/>
      <w:lvlJc w:val="left"/>
      <w:pPr>
        <w:ind w:left="4280" w:hanging="400"/>
      </w:pPr>
    </w:lvl>
    <w:lvl w:ilvl="8">
      <w:start w:val="1"/>
      <w:numFmt w:val="lowerRoman"/>
      <w:lvlText w:val="%9."/>
      <w:lvlJc w:val="right"/>
      <w:pPr>
        <w:ind w:left="4680" w:hanging="400"/>
      </w:pPr>
    </w:lvl>
  </w:abstractNum>
  <w:abstractNum w:abstractNumId="3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EE37F2"/>
    <w:multiLevelType w:val="multilevel"/>
    <w:tmpl w:val="0CEE37F2"/>
    <w:lvl w:ilvl="0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0F2F429B"/>
    <w:multiLevelType w:val="hybridMultilevel"/>
    <w:tmpl w:val="F7A64F72"/>
    <w:lvl w:ilvl="0" w:tplc="5488359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4E6604"/>
    <w:multiLevelType w:val="multilevel"/>
    <w:tmpl w:val="1D4E6604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>
    <w:nsid w:val="29DD3BB5"/>
    <w:multiLevelType w:val="multilevel"/>
    <w:tmpl w:val="29DD3BB5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BB5E2A"/>
    <w:multiLevelType w:val="multilevel"/>
    <w:tmpl w:val="36BB5E2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53A1CF66"/>
    <w:multiLevelType w:val="singleLevel"/>
    <w:tmpl w:val="53A1CF66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</w:abstractNum>
  <w:abstractNum w:abstractNumId="14">
    <w:nsid w:val="595D019D"/>
    <w:multiLevelType w:val="multilevel"/>
    <w:tmpl w:val="595D019D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>
    <w:nsid w:val="60AB38FF"/>
    <w:multiLevelType w:val="multilevel"/>
    <w:tmpl w:val="60AB38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1D20C14"/>
    <w:multiLevelType w:val="hybridMultilevel"/>
    <w:tmpl w:val="05CC9B28"/>
    <w:lvl w:ilvl="0" w:tplc="5488359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05089E"/>
    <w:multiLevelType w:val="multilevel"/>
    <w:tmpl w:val="6705089E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2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21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2"/>
  </w:num>
  <w:num w:numId="12">
    <w:abstractNumId w:val="8"/>
  </w:num>
  <w:num w:numId="13">
    <w:abstractNumId w:val="7"/>
  </w:num>
  <w:num w:numId="14">
    <w:abstractNumId w:val="15"/>
  </w:num>
  <w:num w:numId="15">
    <w:abstractNumId w:val="5"/>
  </w:num>
  <w:num w:numId="16">
    <w:abstractNumId w:val="16"/>
  </w:num>
  <w:num w:numId="17">
    <w:abstractNumId w:val="11"/>
  </w:num>
  <w:num w:numId="18">
    <w:abstractNumId w:val="20"/>
  </w:num>
  <w:num w:numId="19">
    <w:abstractNumId w:val="14"/>
  </w:num>
  <w:num w:numId="20">
    <w:abstractNumId w:val="1"/>
  </w:num>
  <w:num w:numId="21">
    <w:abstractNumId w:val="13"/>
  </w:num>
  <w:num w:numId="22">
    <w:abstractNumId w:val="4"/>
  </w:num>
  <w:num w:numId="23">
    <w:abstractNumId w:val="1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48"/>
    <w:rsid w:val="00057123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8C9"/>
    <w:rsid w:val="000C5D34"/>
    <w:rsid w:val="000C5E7D"/>
    <w:rsid w:val="000C648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856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5C2"/>
    <w:rsid w:val="0010067A"/>
    <w:rsid w:val="001007D9"/>
    <w:rsid w:val="00100914"/>
    <w:rsid w:val="001009BB"/>
    <w:rsid w:val="00100D57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83B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80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AB9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A7D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D02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B7F4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129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5A66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F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4A0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67B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6BA0"/>
    <w:rsid w:val="00277512"/>
    <w:rsid w:val="00277609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2A97"/>
    <w:rsid w:val="00283165"/>
    <w:rsid w:val="002832E7"/>
    <w:rsid w:val="00283346"/>
    <w:rsid w:val="00283FD2"/>
    <w:rsid w:val="00284E7F"/>
    <w:rsid w:val="0028550D"/>
    <w:rsid w:val="00285520"/>
    <w:rsid w:val="00285894"/>
    <w:rsid w:val="00285A85"/>
    <w:rsid w:val="00285BEF"/>
    <w:rsid w:val="00285E28"/>
    <w:rsid w:val="00285EF7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135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A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5D3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F07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A6E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9B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4F4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E09"/>
    <w:rsid w:val="003D60F1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2DD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8C0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C8B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D7E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0DA"/>
    <w:rsid w:val="0045742D"/>
    <w:rsid w:val="0045745E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9E6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025"/>
    <w:rsid w:val="0047253B"/>
    <w:rsid w:val="00472668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8FE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97C42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14D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CE0"/>
    <w:rsid w:val="00503FAD"/>
    <w:rsid w:val="00504639"/>
    <w:rsid w:val="00504943"/>
    <w:rsid w:val="00504BF5"/>
    <w:rsid w:val="00504C77"/>
    <w:rsid w:val="00504CBB"/>
    <w:rsid w:val="00504D9B"/>
    <w:rsid w:val="00504DEE"/>
    <w:rsid w:val="00504F81"/>
    <w:rsid w:val="005050E7"/>
    <w:rsid w:val="005052DE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83D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081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B58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3D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7BE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9B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2FD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94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03E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7A1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2712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26D"/>
    <w:rsid w:val="00645ACC"/>
    <w:rsid w:val="0064615B"/>
    <w:rsid w:val="006466B5"/>
    <w:rsid w:val="00646878"/>
    <w:rsid w:val="0064688F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61"/>
    <w:rsid w:val="00671B4F"/>
    <w:rsid w:val="00671ED0"/>
    <w:rsid w:val="00671FBB"/>
    <w:rsid w:val="0067231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D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4F9C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42D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3F9A"/>
    <w:rsid w:val="0075412E"/>
    <w:rsid w:val="007545E6"/>
    <w:rsid w:val="00754747"/>
    <w:rsid w:val="00754992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61F"/>
    <w:rsid w:val="00762924"/>
    <w:rsid w:val="0076295C"/>
    <w:rsid w:val="00762C4A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050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54F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C9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BE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5C9"/>
    <w:rsid w:val="00823335"/>
    <w:rsid w:val="00823422"/>
    <w:rsid w:val="008235E4"/>
    <w:rsid w:val="008237B2"/>
    <w:rsid w:val="00823B2A"/>
    <w:rsid w:val="00823F61"/>
    <w:rsid w:val="0082449E"/>
    <w:rsid w:val="00824611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02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1FC"/>
    <w:rsid w:val="00846273"/>
    <w:rsid w:val="00846467"/>
    <w:rsid w:val="00846661"/>
    <w:rsid w:val="00846874"/>
    <w:rsid w:val="00846AC4"/>
    <w:rsid w:val="00846C77"/>
    <w:rsid w:val="00846E99"/>
    <w:rsid w:val="008470A4"/>
    <w:rsid w:val="008477B1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97B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BD9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B37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7E6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04"/>
    <w:rsid w:val="00934747"/>
    <w:rsid w:val="0093485A"/>
    <w:rsid w:val="00934FFD"/>
    <w:rsid w:val="00935289"/>
    <w:rsid w:val="00935294"/>
    <w:rsid w:val="009359C0"/>
    <w:rsid w:val="00935B52"/>
    <w:rsid w:val="00935CCB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0F7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5DAF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3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18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29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28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6E42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998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268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57B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8CD"/>
    <w:rsid w:val="00A649B4"/>
    <w:rsid w:val="00A64BC7"/>
    <w:rsid w:val="00A64EB1"/>
    <w:rsid w:val="00A65204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6FAF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992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EC5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5E92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137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6AD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A8E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B6D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A29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E9D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C9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123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887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061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1B5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56D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0F26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9F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E81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BB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9D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1D0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96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31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A35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AF7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9C4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77A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35F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D7AD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2BA9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C16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6CA"/>
    <w:rsid w:val="00E377BF"/>
    <w:rsid w:val="00E37A51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355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4BDF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557C"/>
    <w:rsid w:val="00EC60A1"/>
    <w:rsid w:val="00EC614D"/>
    <w:rsid w:val="00EC6337"/>
    <w:rsid w:val="00EC6D31"/>
    <w:rsid w:val="00EC6D68"/>
    <w:rsid w:val="00EC6D82"/>
    <w:rsid w:val="00EC7183"/>
    <w:rsid w:val="00EC71AB"/>
    <w:rsid w:val="00EC78C8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649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BFA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4E2E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266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C5E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88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8BC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0D5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2F05B7"/>
    <w:rsid w:val="0284643E"/>
    <w:rsid w:val="029C6ECE"/>
    <w:rsid w:val="03532C3F"/>
    <w:rsid w:val="03B25C4C"/>
    <w:rsid w:val="03F94E83"/>
    <w:rsid w:val="03FC4856"/>
    <w:rsid w:val="04532B1F"/>
    <w:rsid w:val="046942AE"/>
    <w:rsid w:val="05417863"/>
    <w:rsid w:val="054A3BE8"/>
    <w:rsid w:val="056B6146"/>
    <w:rsid w:val="067D4C1C"/>
    <w:rsid w:val="06B127E5"/>
    <w:rsid w:val="072F2729"/>
    <w:rsid w:val="07C21FA9"/>
    <w:rsid w:val="090E4DD4"/>
    <w:rsid w:val="0957797D"/>
    <w:rsid w:val="0972706B"/>
    <w:rsid w:val="09C21BB6"/>
    <w:rsid w:val="0A867EAB"/>
    <w:rsid w:val="0AFC60B7"/>
    <w:rsid w:val="0B2C4182"/>
    <w:rsid w:val="0BAD7041"/>
    <w:rsid w:val="0C6F5654"/>
    <w:rsid w:val="0D132BA9"/>
    <w:rsid w:val="0D660AC2"/>
    <w:rsid w:val="0D672BF6"/>
    <w:rsid w:val="0E120AD5"/>
    <w:rsid w:val="0EB06FFE"/>
    <w:rsid w:val="0F753B51"/>
    <w:rsid w:val="10150A41"/>
    <w:rsid w:val="10705DD0"/>
    <w:rsid w:val="1257267A"/>
    <w:rsid w:val="12A472D8"/>
    <w:rsid w:val="12FE321B"/>
    <w:rsid w:val="130859B8"/>
    <w:rsid w:val="13B5695B"/>
    <w:rsid w:val="141F2191"/>
    <w:rsid w:val="1575AEB2"/>
    <w:rsid w:val="15BD5E76"/>
    <w:rsid w:val="164F7F6D"/>
    <w:rsid w:val="165E068A"/>
    <w:rsid w:val="1702D3F2"/>
    <w:rsid w:val="188D2058"/>
    <w:rsid w:val="18BA7603"/>
    <w:rsid w:val="18EC06E6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2A6D43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1C2740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9FF22FA"/>
    <w:rsid w:val="2A0F0B23"/>
    <w:rsid w:val="2ACC5995"/>
    <w:rsid w:val="2AFE2B7E"/>
    <w:rsid w:val="2C1B2AB3"/>
    <w:rsid w:val="2CC038FC"/>
    <w:rsid w:val="2D376513"/>
    <w:rsid w:val="2D392BA1"/>
    <w:rsid w:val="2DC863F1"/>
    <w:rsid w:val="2E49725C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735E71"/>
    <w:rsid w:val="38AF7030"/>
    <w:rsid w:val="38BA113F"/>
    <w:rsid w:val="3A135075"/>
    <w:rsid w:val="3A6B03C3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16299"/>
    <w:rsid w:val="4A2A1BF5"/>
    <w:rsid w:val="4B3872E6"/>
    <w:rsid w:val="4CA149AE"/>
    <w:rsid w:val="4DF51404"/>
    <w:rsid w:val="4E5633F4"/>
    <w:rsid w:val="4E7740D9"/>
    <w:rsid w:val="4EAC0AFF"/>
    <w:rsid w:val="4EC2021D"/>
    <w:rsid w:val="4F540E8D"/>
    <w:rsid w:val="50FD13B2"/>
    <w:rsid w:val="52FE30BB"/>
    <w:rsid w:val="536E79E7"/>
    <w:rsid w:val="53B16D71"/>
    <w:rsid w:val="53B431E5"/>
    <w:rsid w:val="54CE2507"/>
    <w:rsid w:val="55181CD2"/>
    <w:rsid w:val="55816065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1734EC"/>
    <w:rsid w:val="5AF07FF7"/>
    <w:rsid w:val="5AF422E5"/>
    <w:rsid w:val="5B4B7A17"/>
    <w:rsid w:val="5BF26431"/>
    <w:rsid w:val="5D436F9C"/>
    <w:rsid w:val="5E780DEA"/>
    <w:rsid w:val="5F4B17CF"/>
    <w:rsid w:val="5F631FA8"/>
    <w:rsid w:val="62772955"/>
    <w:rsid w:val="65507243"/>
    <w:rsid w:val="65576B9C"/>
    <w:rsid w:val="656027FF"/>
    <w:rsid w:val="661D1829"/>
    <w:rsid w:val="66457E51"/>
    <w:rsid w:val="6680376E"/>
    <w:rsid w:val="66ED31EA"/>
    <w:rsid w:val="68FC048E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BD61942"/>
    <w:rsid w:val="6C004889"/>
    <w:rsid w:val="6D020EA1"/>
    <w:rsid w:val="6E0F1211"/>
    <w:rsid w:val="6ED5379A"/>
    <w:rsid w:val="6F6C3C47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6CD702-BDAF-4367-9F52-35E00D8F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5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4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5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maintext">
    <w:name w:val="main text"/>
    <w:basedOn w:val="a0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Char3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e"/>
    <w:rsid w:val="00FE68B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53113BDF-ABB6-43CE-9169-40B33B6B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1068</Words>
  <Characters>6088</Characters>
  <Application>Microsoft Office Word</Application>
  <DocSecurity>0</DocSecurity>
  <Lines>50</Lines>
  <Paragraphs>14</Paragraphs>
  <ScaleCrop>false</ScaleCrop>
  <Company>ZTE Corporation</Company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魏兴光10240317</cp:lastModifiedBy>
  <cp:revision>39</cp:revision>
  <cp:lastPrinted>2018-04-07T03:05:00Z</cp:lastPrinted>
  <dcterms:created xsi:type="dcterms:W3CDTF">2021-11-03T01:33:00Z</dcterms:created>
  <dcterms:modified xsi:type="dcterms:W3CDTF">2022-04-22T07:04:00Z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2052-11.8.2.10393</vt:lpwstr>
  </property>
</Properties>
</file>